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DEB27" w14:textId="77777777" w:rsidR="00F86465" w:rsidRDefault="00F86465" w:rsidP="00F86465">
      <w:pPr>
        <w:pStyle w:val="Heading1"/>
        <w:spacing w:line="276" w:lineRule="auto"/>
        <w:ind w:left="180" w:hanging="540"/>
        <w:jc w:val="center"/>
        <w:rPr>
          <w:rFonts w:ascii="Sylfaen" w:hAnsi="Sylfaen"/>
          <w:sz w:val="22"/>
          <w:szCs w:val="22"/>
          <w:lang w:val="hy-AM"/>
        </w:rPr>
      </w:pPr>
      <w:r>
        <w:rPr>
          <w:rFonts w:ascii="Sylfaen" w:hAnsi="Sylfaen"/>
          <w:sz w:val="22"/>
          <w:szCs w:val="22"/>
          <w:lang w:val="hy-AM"/>
        </w:rPr>
        <w:t>ՈՒԵՖԱ «ՉԵՄՊԻՈՆՆԵՐԻ ԼԻԳԱ» ԳԱՎԱԹԱՅԻՆ ՄՐՑԱՇԱՐԻ ԵԶՐԱՓԱԿԻՉ ԽԱՂԻ ԱՌՆՉՈՒԹՅԱՄԲ ԱՆՑԿԱՑՎՈՂ ԽԱՂԱՐԿՈՒԹՅԱՆ ՊԱՅՄԱՆՆԵՐՆ ՈԻ ԿԱՆՈՆՆԵՐԸ</w:t>
      </w:r>
    </w:p>
    <w:p w14:paraId="65831799" w14:textId="77777777" w:rsidR="00F86465" w:rsidRDefault="00F86465" w:rsidP="00F86465">
      <w:pPr>
        <w:pStyle w:val="BodyText"/>
        <w:spacing w:line="276" w:lineRule="auto"/>
        <w:ind w:left="180" w:hanging="540"/>
        <w:rPr>
          <w:rFonts w:ascii="Sylfaen" w:hAnsi="Sylfaen"/>
          <w:b/>
          <w:sz w:val="22"/>
          <w:szCs w:val="22"/>
          <w:lang w:val="hy-AM"/>
        </w:rPr>
      </w:pPr>
    </w:p>
    <w:p w14:paraId="712D4004" w14:textId="77777777" w:rsidR="00F86465" w:rsidRDefault="00F86465" w:rsidP="00F86465">
      <w:pPr>
        <w:pStyle w:val="ListParagraph"/>
        <w:widowControl w:val="0"/>
        <w:numPr>
          <w:ilvl w:val="1"/>
          <w:numId w:val="1"/>
        </w:numPr>
        <w:tabs>
          <w:tab w:val="left" w:pos="180"/>
        </w:tabs>
        <w:autoSpaceDE w:val="0"/>
        <w:autoSpaceDN w:val="0"/>
        <w:spacing w:after="0"/>
        <w:ind w:left="180" w:right="36" w:hanging="540"/>
        <w:jc w:val="both"/>
        <w:rPr>
          <w:rFonts w:ascii="Sylfaen" w:hAnsi="Sylfaen"/>
          <w:lang w:val="hy-AM"/>
        </w:rPr>
      </w:pPr>
      <w:r>
        <w:rPr>
          <w:rFonts w:ascii="Sylfaen" w:hAnsi="Sylfaen"/>
          <w:lang w:val="hy-AM"/>
        </w:rPr>
        <w:t>ՈՒԵՖԱ «Չեմպիոնների Լիգա» գավաթային մրցաշարի եզրափակիչ խաղի</w:t>
      </w:r>
      <w:r>
        <w:rPr>
          <w:rFonts w:ascii="Sylfaen" w:hAnsi="Sylfaen"/>
          <w:b/>
          <w:bCs/>
          <w:lang w:val="hy-AM"/>
        </w:rPr>
        <w:t xml:space="preserve"> </w:t>
      </w:r>
      <w:r>
        <w:rPr>
          <w:rFonts w:ascii="Sylfaen" w:hAnsi="Sylfaen"/>
          <w:lang w:val="hy-AM"/>
        </w:rPr>
        <w:t>վերաբերյալ խաղարկությունը (այսուհետ՝ Խաղարկություն) «Իզի Փեյ» ՍՊԸ-ի (այսուհետ նաև` Ընկերություն) կողմից կազմակերպվող «</w:t>
      </w:r>
      <w:r>
        <w:rPr>
          <w:rFonts w:ascii="Sylfaen" w:hAnsi="Sylfaen" w:cs="Tahoma"/>
          <w:iCs/>
          <w:lang w:val="hy-AM"/>
        </w:rPr>
        <w:t>Easy Wallet</w:t>
      </w:r>
      <w:r>
        <w:rPr>
          <w:rFonts w:ascii="Sylfaen" w:hAnsi="Sylfaen"/>
          <w:lang w:val="hy-AM"/>
        </w:rPr>
        <w:t>» էլեկտրոնային վճարային համակարգի (այսուհետ՝ ԷՎՀ) օգտատերերի համար անցկացվող ծրագիր է, որը նպատակ ունի</w:t>
      </w:r>
      <w:r>
        <w:rPr>
          <w:rFonts w:ascii="Sylfaen" w:hAnsi="Sylfaen"/>
          <w:spacing w:val="-6"/>
          <w:lang w:val="hy-AM"/>
        </w:rPr>
        <w:t xml:space="preserve"> խրախուսել նույնականացված օգտատերերի կողմից ԷՎՀ-ով վճարումների կատարումը </w:t>
      </w:r>
      <w:r>
        <w:rPr>
          <w:rFonts w:ascii="Sylfaen" w:hAnsi="Sylfaen"/>
          <w:lang w:val="hy-AM"/>
        </w:rPr>
        <w:t>և այդպիսով ընդլայնել «</w:t>
      </w:r>
      <w:r>
        <w:rPr>
          <w:rFonts w:ascii="Sylfaen" w:hAnsi="Sylfaen" w:cs="Tahoma"/>
          <w:iCs/>
          <w:lang w:val="hy-AM"/>
        </w:rPr>
        <w:t>Easy Wallet</w:t>
      </w:r>
      <w:r>
        <w:rPr>
          <w:rFonts w:ascii="Sylfaen" w:hAnsi="Sylfaen"/>
          <w:lang w:val="hy-AM"/>
        </w:rPr>
        <w:t>» ԷՎՀ իրացվելիության մակարդակը և օգտատերերի</w:t>
      </w:r>
      <w:r>
        <w:rPr>
          <w:rFonts w:ascii="Sylfaen" w:hAnsi="Sylfaen"/>
          <w:spacing w:val="1"/>
          <w:lang w:val="hy-AM"/>
        </w:rPr>
        <w:t xml:space="preserve"> </w:t>
      </w:r>
      <w:r>
        <w:rPr>
          <w:rFonts w:ascii="Sylfaen" w:hAnsi="Sylfaen"/>
          <w:lang w:val="hy-AM"/>
        </w:rPr>
        <w:t xml:space="preserve">շրջանակը: </w:t>
      </w:r>
    </w:p>
    <w:p w14:paraId="6FFDC7D2" w14:textId="77777777" w:rsidR="00F86465" w:rsidRDefault="00F86465" w:rsidP="00F86465">
      <w:pPr>
        <w:pStyle w:val="ListParagraph"/>
        <w:widowControl w:val="0"/>
        <w:numPr>
          <w:ilvl w:val="1"/>
          <w:numId w:val="1"/>
        </w:numPr>
        <w:tabs>
          <w:tab w:val="left" w:pos="270"/>
        </w:tabs>
        <w:autoSpaceDE w:val="0"/>
        <w:autoSpaceDN w:val="0"/>
        <w:spacing w:after="0"/>
        <w:ind w:left="180" w:right="36" w:hanging="540"/>
        <w:jc w:val="both"/>
        <w:rPr>
          <w:rFonts w:ascii="Sylfaen" w:hAnsi="Sylfaen"/>
          <w:lang w:val="hy-AM"/>
        </w:rPr>
      </w:pPr>
      <w:r>
        <w:rPr>
          <w:rFonts w:ascii="Sylfaen" w:hAnsi="Sylfaen"/>
          <w:lang w:val="hy-AM"/>
        </w:rPr>
        <w:t>Սույն կանոններով սահմանվում են Էլեկտրոնային դրամապանակի հաշվառման հաշիվների օգտատերերի կողմից Խաղարկությանը մասնակցելու, Խաղարկության արդյունքում շահելու և շահումը ստանալու կարգն ու պայմանները։</w:t>
      </w:r>
    </w:p>
    <w:p w14:paraId="75E7B28E" w14:textId="77777777" w:rsidR="00F86465" w:rsidRDefault="00F86465" w:rsidP="00F86465">
      <w:pPr>
        <w:pStyle w:val="ListParagraph"/>
        <w:widowControl w:val="0"/>
        <w:numPr>
          <w:ilvl w:val="1"/>
          <w:numId w:val="1"/>
        </w:numPr>
        <w:tabs>
          <w:tab w:val="left" w:pos="270"/>
        </w:tabs>
        <w:autoSpaceDE w:val="0"/>
        <w:autoSpaceDN w:val="0"/>
        <w:spacing w:after="0"/>
        <w:ind w:left="180" w:right="36" w:hanging="540"/>
        <w:jc w:val="both"/>
        <w:rPr>
          <w:rFonts w:ascii="Sylfaen" w:hAnsi="Sylfaen"/>
          <w:lang w:val="hy-AM"/>
        </w:rPr>
      </w:pPr>
      <w:r>
        <w:rPr>
          <w:rFonts w:ascii="Sylfaen" w:hAnsi="Sylfaen"/>
          <w:lang w:val="hy-AM"/>
        </w:rPr>
        <w:t xml:space="preserve">Խաղարկությանը մասնակցում են </w:t>
      </w:r>
      <w:r>
        <w:rPr>
          <w:rFonts w:ascii="Sylfaen" w:hAnsi="Sylfaen"/>
          <w:bCs/>
          <w:lang w:val="hy-AM"/>
        </w:rPr>
        <w:t xml:space="preserve">Էլեկտրոնային դրամապանակի </w:t>
      </w:r>
      <w:r>
        <w:rPr>
          <w:rFonts w:ascii="Sylfaen" w:hAnsi="Sylfaen"/>
          <w:lang w:val="hy-AM"/>
        </w:rPr>
        <w:t>հաշվառման հաշիվների օգտատերերը, ովքեր 2021 թվականի մայիսի 29-ին կայանալիք ՈՒԵՖԱ «Չեմպիոնների Լիգա» գավաթային մրցաշարի եզրափակիչ խաղի ավարտական հաշվի վերաբերյալ կանխատեսումները մինչև սույն կետով սահմանված խաղի մեկնարկը կներկայացնեն որպես մեկնաբանություն տվյալ խաղի վերաբերյալ Ընկերության «Facebook» և «Instagram» սոցիալական կայքերում 2021 թվականի մայիսի 28-ին տեղադրվող համապատասխան հրապարակումների մեկնաբանություններում տվյալ սոցիալական կայքերում գործող իրենց օգտահաշիվներով։</w:t>
      </w:r>
    </w:p>
    <w:p w14:paraId="54B9E7BF" w14:textId="77777777" w:rsidR="00F86465" w:rsidRDefault="00F86465" w:rsidP="00F86465">
      <w:pPr>
        <w:pStyle w:val="ListParagraph"/>
        <w:widowControl w:val="0"/>
        <w:numPr>
          <w:ilvl w:val="1"/>
          <w:numId w:val="1"/>
        </w:numPr>
        <w:tabs>
          <w:tab w:val="left" w:pos="270"/>
        </w:tabs>
        <w:autoSpaceDE w:val="0"/>
        <w:autoSpaceDN w:val="0"/>
        <w:spacing w:after="0"/>
        <w:ind w:left="180" w:right="36" w:hanging="540"/>
        <w:jc w:val="both"/>
        <w:rPr>
          <w:rFonts w:ascii="Sylfaen" w:hAnsi="Sylfaen"/>
          <w:lang w:val="hy-AM"/>
        </w:rPr>
      </w:pPr>
      <w:r>
        <w:rPr>
          <w:rFonts w:ascii="Sylfaen" w:hAnsi="Sylfaen"/>
          <w:lang w:val="hy-AM"/>
        </w:rPr>
        <w:t>Խաղարկությունում հաղթող են ճանաչվում սույն կանոնների 1</w:t>
      </w:r>
      <w:r>
        <w:rPr>
          <w:rFonts w:ascii="MS Mincho" w:eastAsia="MS Mincho" w:hAnsi="MS Mincho" w:cs="MS Mincho" w:hint="eastAsia"/>
          <w:lang w:val="hy-AM"/>
        </w:rPr>
        <w:t>․</w:t>
      </w:r>
      <w:r>
        <w:rPr>
          <w:rFonts w:ascii="Sylfaen" w:hAnsi="Sylfaen"/>
          <w:lang w:val="hy-AM"/>
        </w:rPr>
        <w:t>3 կետով սահմանված եզրափակիչ խաղի ավարտական հաշվի վերաբերյալ ճիշտ կանխատեսում կատարած և մինչև խաղի մեկնարկը սույն կանոնների 1</w:t>
      </w:r>
      <w:r>
        <w:rPr>
          <w:rFonts w:ascii="MS Mincho" w:eastAsia="MS Mincho" w:hAnsi="MS Mincho" w:cs="MS Mincho" w:hint="eastAsia"/>
          <w:lang w:val="hy-AM"/>
        </w:rPr>
        <w:t>․</w:t>
      </w:r>
      <w:r>
        <w:rPr>
          <w:rFonts w:ascii="Sylfaen" w:hAnsi="Sylfaen"/>
          <w:lang w:val="hy-AM"/>
        </w:rPr>
        <w:t>3 կետով սահմանված հրապարակումների մեկնաբանություններում հրապարակած թվով մինչև 5 /հինգ/ առաջին օգտատերերը՝ «Facebook» և «Instagram» սոցիալական կայքերի տիրույթներից յուրաքանչյուրում համապատասխանաբար։ Խաղարկության արդյունքներով հաղթողների առավելագույն քանակը կազմում է 10 /տաս/ հոգի։</w:t>
      </w:r>
    </w:p>
    <w:p w14:paraId="7AFC7575" w14:textId="77777777" w:rsidR="00F86465" w:rsidRDefault="00F86465" w:rsidP="00F86465">
      <w:pPr>
        <w:pStyle w:val="ListParagraph"/>
        <w:widowControl w:val="0"/>
        <w:numPr>
          <w:ilvl w:val="1"/>
          <w:numId w:val="1"/>
        </w:numPr>
        <w:tabs>
          <w:tab w:val="left" w:pos="270"/>
        </w:tabs>
        <w:autoSpaceDE w:val="0"/>
        <w:autoSpaceDN w:val="0"/>
        <w:spacing w:after="0"/>
        <w:ind w:left="180" w:right="36" w:hanging="540"/>
        <w:jc w:val="both"/>
        <w:rPr>
          <w:rFonts w:ascii="Sylfaen" w:hAnsi="Sylfaen"/>
          <w:lang w:val="hy-AM"/>
        </w:rPr>
      </w:pPr>
      <w:r>
        <w:rPr>
          <w:rFonts w:ascii="Sylfaen" w:hAnsi="Sylfaen"/>
          <w:lang w:val="hy-AM"/>
        </w:rPr>
        <w:t xml:space="preserve">Խաղարկության ընդհանուր մրցանակային ֆոնդը կազմում է 100,000 /մեկ հարյուր հազար/ ՀՀ դրամ, որը ենթակա է հավասարաչափ բաշխման Խաղարկության արդյունքներով հաղթող ճանաչված մասնակիցների միջև։ Խաղարկության արդյունքում շահումները տրամադրվում են միայն «Easy Coin» միավորների ձևով։ «Easy Coin» 1 /մեկ/ միավորը հավասար է 1 /մեկ/ ՀՀ դրամի։ Խաղարկության արդյունքում շահումների գումարները ենթակա չեն տրամադրման սույն կետով սահմանվածից տարբերվող որևէ այլ եղանակով։ </w:t>
      </w:r>
    </w:p>
    <w:p w14:paraId="4232F8FF" w14:textId="77777777" w:rsidR="00F86465" w:rsidRDefault="00F86465" w:rsidP="00F86465">
      <w:pPr>
        <w:pStyle w:val="ListParagraph"/>
        <w:widowControl w:val="0"/>
        <w:numPr>
          <w:ilvl w:val="1"/>
          <w:numId w:val="1"/>
        </w:numPr>
        <w:tabs>
          <w:tab w:val="left" w:pos="360"/>
        </w:tabs>
        <w:autoSpaceDE w:val="0"/>
        <w:autoSpaceDN w:val="0"/>
        <w:spacing w:after="0"/>
        <w:ind w:left="180" w:right="36" w:hanging="540"/>
        <w:jc w:val="both"/>
        <w:rPr>
          <w:rFonts w:ascii="Sylfaen" w:hAnsi="Sylfaen"/>
          <w:lang w:val="hy-AM"/>
        </w:rPr>
      </w:pPr>
      <w:r>
        <w:rPr>
          <w:rFonts w:ascii="Sylfaen" w:hAnsi="Sylfaen"/>
          <w:lang w:val="hy-AM"/>
        </w:rPr>
        <w:t xml:space="preserve">Խաղարկության արդյունքներն ամփոփվում են 2021 թվականի մայիսի 31-ին։ Խաղարկության արդյունքների ամփոփումը և շահումների տրամադրումը կատարվում է հետևյալ գործընթացների պահպանմամբ՝ </w:t>
      </w:r>
    </w:p>
    <w:p w14:paraId="38873344" w14:textId="77777777" w:rsidR="00F86465" w:rsidRDefault="00F86465" w:rsidP="00F86465">
      <w:pPr>
        <w:pStyle w:val="ListParagraph"/>
        <w:widowControl w:val="0"/>
        <w:numPr>
          <w:ilvl w:val="0"/>
          <w:numId w:val="2"/>
        </w:numPr>
        <w:tabs>
          <w:tab w:val="left" w:pos="450"/>
        </w:tabs>
        <w:autoSpaceDE w:val="0"/>
        <w:autoSpaceDN w:val="0"/>
        <w:spacing w:after="0"/>
        <w:ind w:left="180" w:right="36" w:firstLine="0"/>
        <w:jc w:val="both"/>
        <w:rPr>
          <w:rFonts w:ascii="Sylfaen" w:hAnsi="Sylfaen"/>
          <w:lang w:val="hy-AM"/>
        </w:rPr>
      </w:pPr>
      <w:r>
        <w:rPr>
          <w:rFonts w:ascii="Sylfaen" w:hAnsi="Sylfaen"/>
          <w:lang w:val="hy-AM"/>
        </w:rPr>
        <w:t xml:space="preserve">2021 թվականի մայիսի 31-ին Ընկերությունը ըստ հաղթող մեկնաբանության հրապարակման տիրույթի «Facebook» և «Instagram» սոցիալական կայքերի միջոցով </w:t>
      </w:r>
      <w:r>
        <w:rPr>
          <w:rFonts w:ascii="Sylfaen" w:hAnsi="Sylfaen"/>
          <w:lang w:val="hy-AM"/>
        </w:rPr>
        <w:lastRenderedPageBreak/>
        <w:t>համապատասխանաբար կապ է հաստատում հաղթող մեկնաբանությունը հրապարակած օգտատիրոջ հետ։</w:t>
      </w:r>
    </w:p>
    <w:p w14:paraId="35C68F5F" w14:textId="77777777" w:rsidR="00F86465" w:rsidRDefault="00F86465" w:rsidP="00F86465">
      <w:pPr>
        <w:pStyle w:val="ListParagraph"/>
        <w:widowControl w:val="0"/>
        <w:numPr>
          <w:ilvl w:val="0"/>
          <w:numId w:val="2"/>
        </w:numPr>
        <w:tabs>
          <w:tab w:val="left" w:pos="450"/>
        </w:tabs>
        <w:autoSpaceDE w:val="0"/>
        <w:autoSpaceDN w:val="0"/>
        <w:spacing w:after="0"/>
        <w:ind w:left="180" w:right="36" w:firstLine="0"/>
        <w:jc w:val="both"/>
        <w:rPr>
          <w:rFonts w:ascii="Sylfaen" w:hAnsi="Sylfaen"/>
          <w:lang w:val="hy-AM"/>
        </w:rPr>
      </w:pPr>
      <w:r>
        <w:rPr>
          <w:rFonts w:ascii="Sylfaen" w:hAnsi="Sylfaen"/>
          <w:lang w:val="hy-AM"/>
        </w:rPr>
        <w:t>Սույն կանոնների 1</w:t>
      </w:r>
      <w:r>
        <w:rPr>
          <w:rFonts w:ascii="MS Mincho" w:eastAsia="MS Mincho" w:hAnsi="MS Mincho" w:cs="MS Mincho" w:hint="eastAsia"/>
          <w:lang w:val="hy-AM"/>
        </w:rPr>
        <w:t>․</w:t>
      </w:r>
      <w:r>
        <w:rPr>
          <w:rFonts w:ascii="Sylfaen" w:hAnsi="Sylfaen"/>
          <w:lang w:val="hy-AM"/>
        </w:rPr>
        <w:t xml:space="preserve">6 կետի 1-ին ենթակետում նշված հաղթող օգտատիրոջ կողմից Էլեկտրոնային դրամապանակի օգտատեր հանդիսանալու դեպքում Ընկերությանը ենթակա են տրամադրման տվյալ հաշվառման հաշվի համարը՝ շահումի գումարը «Easy Coin» միավորների բաժնում հաշվեգրելու համար։ Ընդ որում, շահումները ենթակա են հաշվեգրման բացառապես ՀՀ կենտրոնական բանկի կողմից լիցենզավորված առևտրային բանկերի կողմից թողարկված և վավեր բանկային քարտերով կամ անձը հաստատող փասատթղթով նույնականացված հաշվառման հաշիվներին։ </w:t>
      </w:r>
    </w:p>
    <w:p w14:paraId="1D76F6EC" w14:textId="77777777" w:rsidR="00F86465" w:rsidRDefault="00F86465" w:rsidP="00F86465">
      <w:pPr>
        <w:pStyle w:val="ListParagraph"/>
        <w:widowControl w:val="0"/>
        <w:numPr>
          <w:ilvl w:val="0"/>
          <w:numId w:val="2"/>
        </w:numPr>
        <w:tabs>
          <w:tab w:val="left" w:pos="450"/>
        </w:tabs>
        <w:autoSpaceDE w:val="0"/>
        <w:autoSpaceDN w:val="0"/>
        <w:spacing w:after="0"/>
        <w:ind w:left="180" w:right="36" w:firstLine="0"/>
        <w:jc w:val="both"/>
        <w:rPr>
          <w:rFonts w:ascii="Sylfaen" w:hAnsi="Sylfaen"/>
          <w:lang w:val="hy-AM"/>
        </w:rPr>
      </w:pPr>
      <w:r>
        <w:rPr>
          <w:rFonts w:ascii="Sylfaen" w:hAnsi="Sylfaen"/>
          <w:lang w:val="hy-AM"/>
        </w:rPr>
        <w:t>Սույն կանոնների 1</w:t>
      </w:r>
      <w:r>
        <w:rPr>
          <w:rFonts w:ascii="MS Mincho" w:eastAsia="MS Mincho" w:hAnsi="MS Mincho" w:cs="MS Mincho" w:hint="eastAsia"/>
          <w:lang w:val="hy-AM"/>
        </w:rPr>
        <w:t>․</w:t>
      </w:r>
      <w:r>
        <w:rPr>
          <w:rFonts w:ascii="Sylfaen" w:hAnsi="Sylfaen"/>
          <w:lang w:val="hy-AM"/>
        </w:rPr>
        <w:t>6 կետի 1-ին ենթակետում նշված հաղթող օգտատիրոջ կողմից Էլեկտրոնային դրամապանակի օգտատեր չհանդիսանալու դեպքում տվյալ հաղթողն ուղղորդվում է էլեկտրոնային դրամապանակի բջջային հավելվածի ներբեռնման, գործարկման և նույնականացման համար։ Սույն կետով սահմանված գործողությունները կատարելուց հետո Ընկերությանը տրաամդրվում է տվյալ հաշվառման հաշվի համարը՝  շահումի գումարը «Easy Coin» միավորների բաժնում հաշվեգրելու համար։</w:t>
      </w:r>
    </w:p>
    <w:p w14:paraId="77EB732E" w14:textId="77777777" w:rsidR="00F86465" w:rsidRDefault="00F86465" w:rsidP="00F86465">
      <w:pPr>
        <w:pStyle w:val="ListParagraph"/>
        <w:widowControl w:val="0"/>
        <w:numPr>
          <w:ilvl w:val="1"/>
          <w:numId w:val="1"/>
        </w:numPr>
        <w:tabs>
          <w:tab w:val="left" w:pos="270"/>
        </w:tabs>
        <w:autoSpaceDE w:val="0"/>
        <w:autoSpaceDN w:val="0"/>
        <w:spacing w:after="0"/>
        <w:ind w:left="180" w:right="208" w:hanging="540"/>
        <w:jc w:val="both"/>
        <w:rPr>
          <w:rFonts w:ascii="Sylfaen" w:hAnsi="Sylfaen"/>
          <w:lang w:val="hy-AM"/>
        </w:rPr>
      </w:pPr>
      <w:r>
        <w:rPr>
          <w:rFonts w:ascii="Sylfaen" w:hAnsi="Sylfaen"/>
          <w:lang w:val="hy-AM"/>
        </w:rPr>
        <w:t>Սույն կանոնների 1</w:t>
      </w:r>
      <w:r>
        <w:rPr>
          <w:rFonts w:ascii="MS Mincho" w:eastAsia="MS Mincho" w:hAnsi="MS Mincho" w:cs="MS Mincho" w:hint="eastAsia"/>
          <w:lang w:val="hy-AM"/>
        </w:rPr>
        <w:t>․</w:t>
      </w:r>
      <w:r>
        <w:rPr>
          <w:rFonts w:ascii="Sylfaen" w:hAnsi="Sylfaen"/>
          <w:lang w:val="hy-AM"/>
        </w:rPr>
        <w:t>6 կետով սահմանված շահումի գումարը ենթակա է հաշվեգրման Էլեկտրոնային դրամապանակի հաշառման հաշվի «Easy Coin» միավորների բաժնում Խաղարկության արդյունքներով հաղթողի կողմից Էլեկտրոնային դրամապանակի հաշառման հաշվի համարը Ընկերությանը տրամադրելու պահից մինչև հաջորդող աշխատանքային օրվա ժամը 23։59։59։</w:t>
      </w:r>
    </w:p>
    <w:p w14:paraId="1EAE9570" w14:textId="77777777" w:rsidR="00F86465" w:rsidRDefault="00F86465" w:rsidP="00F86465">
      <w:pPr>
        <w:pStyle w:val="ListParagraph"/>
        <w:widowControl w:val="0"/>
        <w:numPr>
          <w:ilvl w:val="1"/>
          <w:numId w:val="1"/>
        </w:numPr>
        <w:tabs>
          <w:tab w:val="left" w:pos="270"/>
        </w:tabs>
        <w:autoSpaceDE w:val="0"/>
        <w:autoSpaceDN w:val="0"/>
        <w:spacing w:after="0"/>
        <w:ind w:left="180" w:right="208" w:hanging="540"/>
        <w:jc w:val="both"/>
        <w:rPr>
          <w:rFonts w:ascii="Sylfaen" w:hAnsi="Sylfaen"/>
          <w:lang w:val="hy-AM"/>
        </w:rPr>
      </w:pPr>
      <w:r>
        <w:rPr>
          <w:rFonts w:ascii="Sylfaen" w:hAnsi="Sylfaen"/>
          <w:lang w:val="hy-AM"/>
        </w:rPr>
        <w:t>Սույն կանոնների 1</w:t>
      </w:r>
      <w:r>
        <w:rPr>
          <w:rFonts w:ascii="MS Mincho" w:eastAsia="MS Mincho" w:hAnsi="MS Mincho" w:cs="MS Mincho" w:hint="eastAsia"/>
          <w:lang w:val="hy-AM"/>
        </w:rPr>
        <w:t>․</w:t>
      </w:r>
      <w:r>
        <w:rPr>
          <w:rFonts w:ascii="Sylfaen" w:hAnsi="Sylfaen"/>
          <w:lang w:val="hy-AM"/>
        </w:rPr>
        <w:t>6 կետով սահմանված շահումի գումարը «Easy Coin» միավորների բաժնում հաշվեգրելուց հետո տվյալ «Easy Coin» միավորները ենթակա են օգտագործման Ընկերության կողմից սահմանված Էլեկտրոնային դրամապանակի օգտագործման կանոններին համապատասխան։ Սույն կետով վկայակոչված գտագործման կանոնները ներառում են Էլեկտրոնային դրամապանակի գործարկման ընթացքում հաստատման ենթակա հրապարակային պայմանագիրը, Ընկերության կողմից սահմանված այլ պայմանները, որոնց մասին առկա են առանձին ծանուցումներ։</w:t>
      </w:r>
    </w:p>
    <w:p w14:paraId="2AA7A88E" w14:textId="77777777" w:rsidR="00F86465" w:rsidRDefault="00F86465" w:rsidP="00F86465">
      <w:pPr>
        <w:pStyle w:val="ListParagraph"/>
        <w:widowControl w:val="0"/>
        <w:numPr>
          <w:ilvl w:val="1"/>
          <w:numId w:val="1"/>
        </w:numPr>
        <w:tabs>
          <w:tab w:val="left" w:pos="180"/>
        </w:tabs>
        <w:autoSpaceDE w:val="0"/>
        <w:autoSpaceDN w:val="0"/>
        <w:spacing w:after="0"/>
        <w:ind w:left="180" w:right="205" w:hanging="540"/>
        <w:jc w:val="both"/>
        <w:rPr>
          <w:rFonts w:ascii="Sylfaen" w:hAnsi="Sylfaen"/>
          <w:lang w:val="hy-AM"/>
        </w:rPr>
      </w:pPr>
      <w:r>
        <w:rPr>
          <w:rFonts w:ascii="Sylfaen" w:hAnsi="Sylfaen"/>
          <w:lang w:val="hy-AM"/>
        </w:rPr>
        <w:t xml:space="preserve"> Սույն կանոնները կարող են միակողմանիորեն փոփոխվել Ընկերության կողմից` խմբագրված տարբերակը </w:t>
      </w:r>
      <w:hyperlink r:id="rId5" w:history="1">
        <w:r>
          <w:rPr>
            <w:rStyle w:val="Hyperlink"/>
            <w:rFonts w:ascii="Sylfaen" w:hAnsi="Sylfaen"/>
            <w:lang w:val="hy-AM"/>
          </w:rPr>
          <w:t>www.easypay.am</w:t>
        </w:r>
      </w:hyperlink>
      <w:r>
        <w:rPr>
          <w:rFonts w:ascii="Sylfaen" w:hAnsi="Sylfaen"/>
          <w:lang w:val="hy-AM"/>
        </w:rPr>
        <w:t xml:space="preserve"> կայքում հրապարկելու միջոցով:</w:t>
      </w:r>
    </w:p>
    <w:p w14:paraId="7CFA1245" w14:textId="77777777" w:rsidR="00F86465" w:rsidRDefault="00F86465" w:rsidP="00F86465">
      <w:pPr>
        <w:pStyle w:val="ListParagraph"/>
        <w:widowControl w:val="0"/>
        <w:numPr>
          <w:ilvl w:val="1"/>
          <w:numId w:val="1"/>
        </w:numPr>
        <w:tabs>
          <w:tab w:val="left" w:pos="270"/>
        </w:tabs>
        <w:autoSpaceDE w:val="0"/>
        <w:autoSpaceDN w:val="0"/>
        <w:spacing w:after="0"/>
        <w:ind w:left="180" w:right="205" w:hanging="540"/>
        <w:jc w:val="both"/>
        <w:rPr>
          <w:rFonts w:ascii="Sylfaen" w:hAnsi="Sylfaen" w:cs="Tahoma"/>
          <w:lang w:val="hy-AM"/>
        </w:rPr>
      </w:pPr>
      <w:r>
        <w:rPr>
          <w:rFonts w:ascii="Sylfaen" w:hAnsi="Sylfaen"/>
          <w:lang w:val="hy-AM"/>
        </w:rPr>
        <w:t>Սույն կանոնները և նկարագրված բոլոր գործողություններն ու փոխհարաբերությունները կարգավորվում են Էլեկտրոնային դրամապանակի հաշվառման հաշվի օգտատիրոջ և Ընկերության միջև կնքված հրապարակային պայմանագրով, Ընկերության աշխատանքի կանոնակարգով, Էլեկտրոնային դրամապանակի համակարգի կանոններով: Սույն կետով սահմանված փասատթղթերով առանձին կարգավորման բացակայության դեպքում խնդրո առարկա իրավիճակը կարգավորվում է ՀՀ գործող օրենսդրությամբ սահմանված կարգով:</w:t>
      </w:r>
    </w:p>
    <w:p w14:paraId="209BD43C" w14:textId="77777777" w:rsidR="00F86465" w:rsidRDefault="00F86465" w:rsidP="00F86465">
      <w:pPr>
        <w:pStyle w:val="ListParagraph"/>
        <w:widowControl w:val="0"/>
        <w:numPr>
          <w:ilvl w:val="1"/>
          <w:numId w:val="1"/>
        </w:numPr>
        <w:tabs>
          <w:tab w:val="left" w:pos="180"/>
        </w:tabs>
        <w:autoSpaceDE w:val="0"/>
        <w:autoSpaceDN w:val="0"/>
        <w:spacing w:after="0"/>
        <w:ind w:left="180" w:right="205" w:hanging="540"/>
        <w:jc w:val="both"/>
        <w:rPr>
          <w:rFonts w:ascii="Sylfaen" w:hAnsi="Sylfaen" w:cs="Tahoma"/>
          <w:lang w:val="hy-AM"/>
        </w:rPr>
      </w:pPr>
      <w:r>
        <w:rPr>
          <w:rFonts w:ascii="Sylfaen" w:hAnsi="Sylfaen"/>
          <w:lang w:val="hy-AM"/>
        </w:rPr>
        <w:t xml:space="preserve">Սույն կանոնները գործում են մինչև Խաղարկության արդյունքների ամոփումը և ամփոփումից բխող գործողությունների ամբողջական ավարտը։ </w:t>
      </w:r>
    </w:p>
    <w:p w14:paraId="1529BC52" w14:textId="77777777" w:rsidR="00A91BAC" w:rsidRPr="00F86465" w:rsidRDefault="00A91BAC">
      <w:pPr>
        <w:rPr>
          <w:lang w:val="hy-AM"/>
        </w:rPr>
      </w:pPr>
    </w:p>
    <w:sectPr w:rsidR="00A91BAC" w:rsidRPr="00F8646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1096D"/>
    <w:multiLevelType w:val="multilevel"/>
    <w:tmpl w:val="549416D4"/>
    <w:lvl w:ilvl="0">
      <w:start w:val="1"/>
      <w:numFmt w:val="decimal"/>
      <w:lvlText w:val="%1"/>
      <w:lvlJc w:val="left"/>
      <w:pPr>
        <w:ind w:left="1551" w:hanging="720"/>
      </w:pPr>
      <w:rPr>
        <w:rFonts w:cs="Times New Roman"/>
      </w:rPr>
    </w:lvl>
    <w:lvl w:ilvl="1">
      <w:start w:val="1"/>
      <w:numFmt w:val="decimal"/>
      <w:lvlText w:val="%1.%2."/>
      <w:lvlJc w:val="left"/>
      <w:pPr>
        <w:ind w:left="1551" w:hanging="720"/>
      </w:pPr>
      <w:rPr>
        <w:rFonts w:ascii="Sylfaen" w:eastAsia="Times New Roman" w:hAnsi="Sylfaen" w:cs="Tahoma" w:hint="default"/>
        <w:b/>
        <w:bCs/>
        <w:w w:val="99"/>
        <w:sz w:val="22"/>
        <w:szCs w:val="22"/>
      </w:rPr>
    </w:lvl>
    <w:lvl w:ilvl="2">
      <w:numFmt w:val="bullet"/>
      <w:lvlText w:val="•"/>
      <w:lvlJc w:val="left"/>
      <w:pPr>
        <w:ind w:left="3361" w:hanging="720"/>
      </w:pPr>
    </w:lvl>
    <w:lvl w:ilvl="3">
      <w:numFmt w:val="bullet"/>
      <w:lvlText w:val="•"/>
      <w:lvlJc w:val="left"/>
      <w:pPr>
        <w:ind w:left="4261" w:hanging="720"/>
      </w:pPr>
    </w:lvl>
    <w:lvl w:ilvl="4">
      <w:numFmt w:val="bullet"/>
      <w:lvlText w:val="•"/>
      <w:lvlJc w:val="left"/>
      <w:pPr>
        <w:ind w:left="5162" w:hanging="720"/>
      </w:pPr>
    </w:lvl>
    <w:lvl w:ilvl="5">
      <w:numFmt w:val="bullet"/>
      <w:lvlText w:val="•"/>
      <w:lvlJc w:val="left"/>
      <w:pPr>
        <w:ind w:left="6063" w:hanging="720"/>
      </w:pPr>
    </w:lvl>
    <w:lvl w:ilvl="6">
      <w:numFmt w:val="bullet"/>
      <w:lvlText w:val="•"/>
      <w:lvlJc w:val="left"/>
      <w:pPr>
        <w:ind w:left="6963" w:hanging="720"/>
      </w:pPr>
    </w:lvl>
    <w:lvl w:ilvl="7">
      <w:numFmt w:val="bullet"/>
      <w:lvlText w:val="•"/>
      <w:lvlJc w:val="left"/>
      <w:pPr>
        <w:ind w:left="7864" w:hanging="720"/>
      </w:pPr>
    </w:lvl>
    <w:lvl w:ilvl="8">
      <w:numFmt w:val="bullet"/>
      <w:lvlText w:val="•"/>
      <w:lvlJc w:val="left"/>
      <w:pPr>
        <w:ind w:left="8765" w:hanging="720"/>
      </w:pPr>
    </w:lvl>
  </w:abstractNum>
  <w:abstractNum w:abstractNumId="1" w15:restartNumberingAfterBreak="0">
    <w:nsid w:val="54FF7EAE"/>
    <w:multiLevelType w:val="hybridMultilevel"/>
    <w:tmpl w:val="475874F4"/>
    <w:lvl w:ilvl="0" w:tplc="04090011">
      <w:start w:val="1"/>
      <w:numFmt w:val="decimal"/>
      <w:lvlText w:val="%1)"/>
      <w:lvlJc w:val="left"/>
      <w:pPr>
        <w:ind w:left="900" w:hanging="360"/>
      </w:pPr>
      <w:rPr>
        <w:rFonts w:cs="Times New Roman"/>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6465"/>
    <w:rsid w:val="00A91BAC"/>
    <w:rsid w:val="00AA0B08"/>
    <w:rsid w:val="00F86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7D708E"/>
  <w14:defaultImageDpi w14:val="0"/>
  <w15:docId w15:val="{7E408F1F-8C52-4ED5-9F56-B0A9EDFF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1"/>
    <w:qFormat/>
    <w:rsid w:val="00F86465"/>
    <w:pPr>
      <w:widowControl w:val="0"/>
      <w:autoSpaceDE w:val="0"/>
      <w:autoSpaceDN w:val="0"/>
      <w:spacing w:after="0" w:line="240" w:lineRule="auto"/>
      <w:outlineLvl w:val="0"/>
    </w:pPr>
    <w:rPr>
      <w:rFonts w:ascii="Tahoma"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F86465"/>
    <w:rPr>
      <w:rFonts w:ascii="Tahoma" w:eastAsia="Times New Roman" w:hAnsi="Tahoma" w:cs="Tahoma"/>
      <w:b/>
      <w:bCs/>
      <w:sz w:val="20"/>
      <w:szCs w:val="20"/>
    </w:rPr>
  </w:style>
  <w:style w:type="paragraph" w:styleId="BodyText">
    <w:name w:val="Body Text"/>
    <w:basedOn w:val="Normal"/>
    <w:link w:val="BodyTextChar"/>
    <w:uiPriority w:val="1"/>
    <w:semiHidden/>
    <w:unhideWhenUsed/>
    <w:qFormat/>
    <w:rsid w:val="00F86465"/>
    <w:pPr>
      <w:widowControl w:val="0"/>
      <w:autoSpaceDE w:val="0"/>
      <w:autoSpaceDN w:val="0"/>
      <w:spacing w:after="0" w:line="240" w:lineRule="auto"/>
    </w:pPr>
    <w:rPr>
      <w:rFonts w:ascii="Tahoma" w:hAnsi="Tahoma" w:cs="Tahoma"/>
      <w:sz w:val="20"/>
      <w:szCs w:val="20"/>
    </w:rPr>
  </w:style>
  <w:style w:type="character" w:customStyle="1" w:styleId="BodyTextChar">
    <w:name w:val="Body Text Char"/>
    <w:link w:val="BodyText"/>
    <w:uiPriority w:val="1"/>
    <w:semiHidden/>
    <w:locked/>
    <w:rsid w:val="00F86465"/>
    <w:rPr>
      <w:rFonts w:ascii="Tahoma" w:eastAsia="Times New Roman" w:hAnsi="Tahoma" w:cs="Tahoma"/>
      <w:sz w:val="20"/>
      <w:szCs w:val="20"/>
    </w:rPr>
  </w:style>
  <w:style w:type="paragraph" w:styleId="ListParagraph">
    <w:name w:val="List Paragraph"/>
    <w:basedOn w:val="Normal"/>
    <w:uiPriority w:val="1"/>
    <w:qFormat/>
    <w:rsid w:val="00F86465"/>
    <w:pPr>
      <w:spacing w:after="200" w:line="276" w:lineRule="auto"/>
      <w:ind w:left="720"/>
      <w:contextualSpacing/>
    </w:pPr>
  </w:style>
  <w:style w:type="character" w:styleId="Hyperlink">
    <w:name w:val="Hyperlink"/>
    <w:uiPriority w:val="99"/>
    <w:semiHidden/>
    <w:unhideWhenUsed/>
    <w:rsid w:val="00F864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0384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asypay.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749</Words>
  <Characters>4275</Characters>
  <Application>Microsoft Office Word</Application>
  <DocSecurity>0</DocSecurity>
  <Lines>35</Lines>
  <Paragraphs>10</Paragraphs>
  <ScaleCrop>false</ScaleCrop>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Marketing</cp:lastModifiedBy>
  <cp:revision>2</cp:revision>
  <dcterms:created xsi:type="dcterms:W3CDTF">2021-05-27T12:02:00Z</dcterms:created>
  <dcterms:modified xsi:type="dcterms:W3CDTF">2021-05-27T12:02:00Z</dcterms:modified>
</cp:coreProperties>
</file>